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姜黄素递送研究的动力学重建与证据稳健性</w:t>
      </w:r>
    </w:p>
    <w:p>
      <w:pPr>
        <w:pStyle w:val="Subtitle"/>
      </w:pPr>
      <w:r>
        <w:rPr>
          <w:color w:val="000000"/>
        </w:rPr>
        <w:t>研究构想与首轮计算分析</w:t>
      </w:r>
    </w:p>
    <w:p>
      <w:r>
        <w:rPr>
          <w:b w:val="0"/>
          <w:sz w:val="18"/>
        </w:rPr>
        <w:t>导师沟通稿  |  2026年10月26日 北京时间</w:t>
      </w:r>
    </w:p>
    <w:p>
      <w:pPr>
        <w:pStyle w:val="Heading1"/>
      </w:pPr>
      <w:r>
        <w:rPr>
          <w:color w:val="000000"/>
        </w:rPr>
        <w:t>一页研究要点</w:t>
      </w:r>
    </w:p>
    <w:p>
      <w:r>
        <w:rPr>
          <w:b w:val="0"/>
        </w:rPr>
        <w:t>我拟结合临床药学背景与信息学、编程能力，从彭盛峰相关研究及合作资料中已有的图表出发，建立可追溯的递送动力学重建与比较流程。首轮工作选择三个有明确边界的问题，以脂质体释放模型稳健性为主线，另用水凝胶信号与代谢物AUC检验测量口径和计算假设。</w:t>
      </w:r>
    </w:p>
    <w:p>
      <w:r>
        <w:rPr>
          <w:b/>
        </w:rPr>
        <w:t>首轮已完成来源核查、真实图形标记重建、独立质量复核及可重复计算。结果应被理解为早期研究样例：它能帮助确定哪些判断值得保留、下一步补什么观测；尚不构成新释放机制、体内疗效或临床给药依据。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268"/>
        <w:gridCol w:w="3685"/>
        <w:gridCol w:w="3685"/>
      </w:tblGrid>
      <w:tr>
        <w:trPr>
          <w:cantSplit/>
          <w:tblHeader/>
        </w:trPr>
        <w:tc>
          <w:tcPr>
            <w:tcW w:type="dxa" w:w="226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主释放曲线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条件AICc最低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原尺度RMSE最低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Cur-Lps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一级 固定平台100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Weibull 自由平台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Cur-RL-Lps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一级 固定平台100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Weibull 自由平台</w:t>
            </w:r>
          </w:p>
        </w:tc>
      </w:tr>
    </w:tbl>
    <w:p>
      <w:pPr>
        <w:spacing w:after="20"/>
      </w:pPr>
    </w:p>
    <w:p>
      <w:r>
        <w:rPr>
          <w:b w:val="0"/>
        </w:rPr>
        <w:t>上述两个排序标准回答不同问题。AICc含小样本复杂度惩罚，RMSE偏向更灵活的曲线；二者不能直接转译为模型正确概率。所有主曲线每组仅6个明确的非零时间点。</w:t>
      </w:r>
    </w:p>
    <w:p>
      <w:pPr>
        <w:pStyle w:val="Heading2"/>
      </w:pPr>
      <w:r>
        <w:rPr>
          <w:color w:val="000000"/>
        </w:rPr>
        <w:t>本次最有价值的收获</w:t>
      </w:r>
    </w:p>
    <w:p>
      <w:r>
        <w:rPr>
          <w:b w:val="0"/>
        </w:rPr>
        <w:t>两条主释放曲线在读取扰动中，条件AICc分别100/100次和99/100次选择固定平台一级模型；但时间窗改变仍会影响选择。水凝胶PB与PSAB全程最大观测时刻为20和24 h，后者位于末点。代谢物C0=0线性AUC为1.516、14.111、6.343 μg·h/mL；皂素组共同窗口删除0.5 h后面积约降17.9%，显示早期采样的重要性。</w:t>
      </w:r>
    </w:p>
    <w:p>
      <w:pPr>
        <w:pStyle w:val="Heading2"/>
      </w:pPr>
      <w:r>
        <w:rPr>
          <w:color w:val="000000"/>
        </w:rPr>
        <w:t>希望与导师讨论的下一步</w:t>
      </w:r>
    </w:p>
    <w:p>
      <w:r>
        <w:rPr>
          <w:b w:val="0"/>
        </w:rPr>
        <w:t>若这一切口与团队方向契合，希望优先获得逐重复浓度与取补液记录、定量回收信息，再用最少的新增观测区分释放、过膜和信号损失。当前成果适合作为进入课题组后的可执行起点，不预设必须得到新机制或阳性结论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1 研究问题与数据来源</w:t>
      </w:r>
    </w:p>
    <w:p>
      <w:r>
        <w:rPr>
          <w:b w:val="0"/>
        </w:rPr>
        <w:t>既有论文已展示不同载体的释放或暴露差异。本研究关注的是这些结果经由什么测量链获得，以及二次计算对有限数据与分析设定有多敏感。三个模块分别回答问题，不拼接成一个生理模型，也不构建体内外相关性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608"/>
        <w:gridCol w:w="3118"/>
        <w:gridCol w:w="3912"/>
      </w:tblGrid>
      <w:tr>
        <w:trPr>
          <w:cantSplit/>
          <w:tblHeader/>
        </w:trPr>
        <w:tc>
          <w:tcPr>
            <w:tcW w:type="dxa" w:w="260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模块与来源</w:t>
            </w:r>
          </w:p>
        </w:tc>
        <w:tc>
          <w:tcPr>
            <w:tcW w:type="dxa" w:w="311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纳入的图示均值</w:t>
            </w:r>
          </w:p>
        </w:tc>
        <w:tc>
          <w:tcPr>
            <w:tcW w:type="dxa" w:w="391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可回答的问题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主线  脂质体释放</w:t>
              <w:br/>
              <w:t>Cheng 2019 Fig.7 [1]</w:t>
            </w:r>
          </w:p>
        </w:tc>
        <w:tc>
          <w:tcPr>
            <w:tcW w:type="dxa" w:w="311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2组 × 6时点</w:t>
              <w:br/>
              <w:t>4、8、12、24、48、72 h</w:t>
            </w:r>
          </w:p>
        </w:tc>
        <w:tc>
          <w:tcPr>
            <w:tcW w:type="dxa" w:w="391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统一原尺度模型比较与排序稳健性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辅助释放案例</w:t>
              <w:br/>
              <w:t>彭盛峰博士论文 Fig.4.6 [2]</w:t>
            </w:r>
          </w:p>
        </w:tc>
        <w:tc>
          <w:tcPr>
            <w:tcW w:type="dxa" w:w="311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2组 × 8时点</w:t>
              <w:br/>
              <w:t>1至24 h</w:t>
            </w:r>
          </w:p>
        </w:tc>
        <w:tc>
          <w:tcPr>
            <w:tcW w:type="dxa" w:w="391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离心法曲线的单独经验比较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水凝胶信号</w:t>
              <w:br/>
              <w:t>Liu 2025 Fig.7C [3]</w:t>
            </w:r>
          </w:p>
        </w:tc>
        <w:tc>
          <w:tcPr>
            <w:tcW w:type="dxa" w:w="311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3组 × 10时点</w:t>
              <w:br/>
              <w:t>1至24 h</w:t>
            </w:r>
          </w:p>
        </w:tc>
        <w:tc>
          <w:tcPr>
            <w:tcW w:type="dxa" w:w="391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观察网格描述及条件损失敏感性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代谢物AUC</w:t>
              <w:br/>
              <w:t>博士论文 Fig.6.5B [2]</w:t>
            </w:r>
          </w:p>
        </w:tc>
        <w:tc>
          <w:tcPr>
            <w:tcW w:type="dxa" w:w="311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3组 × 5时点</w:t>
              <w:br/>
              <w:t>0.5、1、2、4、8 h</w:t>
            </w:r>
          </w:p>
        </w:tc>
        <w:tc>
          <w:tcPr>
            <w:tcW w:type="dxa" w:w="391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有限窗积分、读图与采样敏感性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三个容易混淆的测量对象</w:t>
      </w:r>
    </w:p>
    <w:p>
      <w:r>
        <w:rPr>
          <w:b w:val="0"/>
        </w:rPr>
        <w:t>脂质体主资料是37℃透析外液经420 nm检测得到的报告累计释放百分数，包含载体释放、膜传输、化学存活及检测回收的共同影响。博士论文辅助案例使用离心法；不与透析数据合并解释。[1,2]</w:t>
      </w:r>
    </w:p>
    <w:p>
      <w:r>
        <w:rPr>
          <w:b w:val="0"/>
        </w:rPr>
        <w:t>水凝胶图示“Release ratio”随时间可下降，应先当作归一化检测信号。消化介质名义体积依次为10、20、40、80 mL，分离、取补液及归一化细节未完全确定。它不是已验证的不可逆累计释放质量，更不是凝胶剩余干质量。[3]</w:t>
      </w:r>
    </w:p>
    <w:p>
      <w:r>
        <w:rPr>
          <w:b w:val="0"/>
        </w:rPr>
        <w:t>药代图测定的是大鼠血浆姜黄素葡萄糖醛酸代谢物。图例“Free curcumin”表示给药组，不表示测定游离母体。相关期刊论文与学位论文用于同源核对，不能当作独立队列相加或独立验证。[2,4–5]</w:t>
      </w:r>
    </w:p>
    <w:p>
      <w:pPr>
        <w:pStyle w:val="Heading2"/>
      </w:pPr>
      <w:r>
        <w:rPr>
          <w:color w:val="000000"/>
        </w:rPr>
        <w:t>数据重建实际做到哪一步</w:t>
      </w:r>
    </w:p>
    <w:p>
      <w:r>
        <w:rPr>
          <w:b w:val="0"/>
        </w:rPr>
        <w:t>共纳入73个非零时刻图示均值。释放6个早期模糊时刻、4个定义原点，水凝胶3个近原点记录和药代3个图示零基线另存，不增加主分析样本。来源哈希、坐标与脚本重建通过141项独立检查；全部纳入标记经过目视核验。复核包含部分非盲复读，并非完全盲法的第二套全量数字化。</w:t>
      </w:r>
    </w:p>
    <w:p>
      <w:r>
        <w:rPr>
          <w:b w:val="0"/>
          <w:sz w:val="18"/>
        </w:rPr>
        <w:t>原图为嵌入栅格；本报告只重绘派生曲线，不复制文献图或分发原PDF。读取界限来自标记中心与坐标轴判读公差，不能替代原实验的SD、SEM或生物学置信区间。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2 拟合前方案与实际分析方法</w:t>
      </w:r>
    </w:p>
    <w:p>
      <w:r>
        <w:rPr>
          <w:b w:val="0"/>
        </w:rPr>
        <w:t>研究构想与分析协议在真实数据拟合前保存并计算哈希；执行澄清同样先于计算。主分析在原始百分数尺度、同一组时间点、等残差权重下比较。未采用误差棒倒数加权，也未从图示均值伪造逐重复数据。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1417"/>
        <w:gridCol w:w="4195"/>
        <w:gridCol w:w="4025"/>
      </w:tblGrid>
      <w:tr>
        <w:trPr>
          <w:cantSplit/>
          <w:tblHeader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模型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方程</w:t>
            </w:r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曲线参数与用途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零级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8"/>
              </w:rPr>
            </w:r>
            <m:oMath>
              <m:r>
                <m:t>F(t) = kt</m:t>
              </m:r>
            </m:oMath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1参数  有限窗基线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Higuchi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8"/>
              </w:rPr>
            </w:r>
            <m:oMath>
              <m:r>
                <m:t>F(t) = k</m:t>
              </m:r>
              <m:rad>
                <m:radPr>
                  <m:degHide m:val="1"/>
                </m:radPr>
                <m:deg/>
                <m:e>
                  <m:r>
                    <m:t>t</m:t>
                  </m:r>
                </m:e>
              </m:rad>
            </m:oMath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1参数  有限窗基线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一级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8"/>
              </w:rPr>
            </w:r>
            <m:oMath>
              <m:r>
                <m:t>F(t) = A[1 − </m:t>
              </m:r>
              <m:sSup>
                <m:e>
                  <m:r>
                    <m:t>e</m:t>
                  </m:r>
                </m:e>
                <m:sup>
                  <m:r>
                    <m:t>−kt</m:t>
                  </m:r>
                </m:sup>
              </m:sSup>
              <m:r>
                <m:t>]</m:t>
              </m:r>
            </m:oMath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固定A等于100时1参数</w:t>
              <w:br/>
              <w:t>自由A时2参数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Peppas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8"/>
              </w:rPr>
            </w:r>
            <m:oMath>
              <m:r>
                <m:t>F(t) = k</m:t>
              </m:r>
              <m:sSup>
                <m:e>
                  <m:r>
                    <m:t>t</m:t>
                  </m:r>
                </m:e>
                <m:sup>
                  <m:r>
                    <m:t>n</m:t>
                  </m:r>
                </m:sup>
              </m:sSup>
            </m:oMath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2参数  经验形状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Weibull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color w:val="000000"/>
                <w:sz w:val="18"/>
              </w:rPr>
            </w:r>
            <m:oMath>
              <m:r>
                <m:t>F(t) = A[1 − </m:t>
              </m:r>
              <m:sSup>
                <m:e>
                  <m:r>
                    <m:t>e</m:t>
                  </m:r>
                </m:e>
                <m:sup>
                  <m:r>
                    <m:t>−</m:t>
                  </m:r>
                  <m:sSup>
                    <m:e>
                      <m:r>
                        <m:t>(</m:t>
                      </m:r>
                      <m:f>
                        <m:num>
                          <m:r>
                            <m:t>t</m:t>
                          </m:r>
                        </m:num>
                        <m:den>
                          <m:r>
                            <m:t>τ</m:t>
                          </m:r>
                        </m:den>
                      </m:f>
                      <m:r>
                        <m:t>)</m:t>
                      </m:r>
                    </m:e>
                    <m:sup>
                      <m:r>
                        <m:t>β</m:t>
                      </m:r>
                    </m:sup>
                  </m:sSup>
                </m:sup>
              </m:sSup>
              <m:r>
                <m:t>]</m:t>
              </m:r>
            </m:oMath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固定A时2参数</w:t>
              <w:br/>
              <w:t>自由A时3参数</w:t>
            </w:r>
          </w:p>
        </w:tc>
      </w:tr>
    </w:tbl>
    <w:p>
      <w:pPr>
        <w:spacing w:after="20"/>
      </w:pPr>
    </w:p>
    <w:p>
      <w:r>
        <w:rPr>
          <w:b w:val="0"/>
        </w:rPr>
        <w:t>F为图示释放百分数，t单位为小时。自由平台A限制在0至100%，不等于已测得的最终可释放比例。Peppas指数只描述形状，不据此判断脂质体的Fickian或非Fickian机制。零级与Higuchi的拟合预测可超过100%；程序不截断，而是将其作为模型适用性诊断。</w:t>
      </w:r>
    </w:p>
    <w:p>
      <w:pPr>
        <w:pStyle w:val="Heading2"/>
      </w:pPr>
      <w:r>
        <w:rPr>
          <w:color w:val="000000"/>
        </w:rPr>
        <w:t>参数求解与比较准则</w:t>
      </w:r>
    </w:p>
    <w:p>
      <w:r>
        <w:rPr>
          <w:b w:val="0"/>
        </w:rPr>
        <w:t>每个候选使用三个确定性初始值与有界最小二乘，单起点最多1500次函数评估，取成功结果中SSE最低者。三起点不保证全局最优。报告SSE、RMSE、残差和边界警告；原Table 1参数仅用于预测回放，不作为优化目标。</w:t>
      </w:r>
    </w:p>
    <w:p>
      <w:r>
        <w:rPr>
          <w:b w:val="0"/>
          <w:sz w:val="18"/>
        </w:rPr>
        <w:t>优化界限为k在10⁻⁸至1000、Peppas指数在0.01至2、τ在10⁻⁴至10⁴ h、β在0.05至5、A在10⁻⁶至100%。k的单位随模型而异；这些是计算边界，不是机制参数的生理范围。</w:t>
      </w:r>
    </w:p>
    <w:p>
      <w:pPr>
        <w:spacing w:line="240" w:lineRule="auto"/>
      </w:pPr>
      <w:r>
        <w:rPr>
          <w:b w:val="0"/>
        </w:rPr>
      </w:r>
      <m:oMath>
        <m:r>
          <m:t>AICc = n ln(</m:t>
        </m:r>
        <m:f>
          <m:num>
            <m:r>
              <m:t>SSE</m:t>
            </m:r>
          </m:num>
          <m:den>
            <m:r>
              <m:t>n</m:t>
            </m:r>
          </m:den>
        </m:f>
        <m:r>
          <m:t>) + 2K + </m:t>
        </m:r>
        <m:f>
          <m:num>
            <m:r>
              <m:t>2K(K+1)</m:t>
            </m:r>
          </m:num>
          <m:den>
            <m:r>
              <m:t>n−K−1</m:t>
            </m:r>
          </m:den>
        </m:f>
      </m:oMath>
    </w:p>
    <w:p>
      <w:r>
        <w:rPr>
          <w:b w:val="0"/>
        </w:rPr>
        <w:t>这里n为每曲线纳入的时间点数，K等于曲线参数数加1，额外一项为残差方差。当n≤K+1或SSE≤0时AICc未定义，不参与该情景排序。该式仅在独立同分布高斯残差假设下成立；累计图示均值不一定满足，因此排序仅供条件比较，不计算模型概率。</w:t>
      </w:r>
    </w:p>
    <w:p>
      <w:pPr>
        <w:pStyle w:val="Heading2"/>
      </w:pPr>
      <w:r>
        <w:rPr>
          <w:color w:val="000000"/>
        </w:rPr>
        <w:t>预先安排的敏感性</w:t>
      </w:r>
    </w:p>
    <w:p>
      <w:r>
        <w:rPr>
          <w:b w:val="0"/>
        </w:rPr>
        <w:t>比较删除首点、删除末点、前半观察时间窗及全部已知时刻。每曲线进行100次读取界限内独立均匀扰动，随机种子20261025；频率是设定下的数值敏感性，不是模型为真的概率。共享轴标定误差和累计点相关性未被该扰动方案建模。</w:t>
      </w:r>
    </w:p>
    <w:p>
      <w:r>
        <w:rPr>
          <w:b w:val="0"/>
        </w:rPr>
        <w:t>一级与Weibull另固定A为20、40、60、80、100%，优化其余参数，得到五点粗网格SSE。它用于查看平台约束影响，不是正式剖面似然、置信区间或结构可辨识性证明。未对模糊早期标记猜测时刻；因此“全部已知时刻”情景可与主分析相同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3 主释放曲线的首轮比较</w:t>
      </w:r>
    </w:p>
    <w:p>
      <w:r>
        <w:rPr>
          <w:b w:val="0"/>
        </w:rPr>
        <w:t>主资料为Cheng等2019年Fig.7。下图的点和细小误差线分别为本次重建均值与读取界限；曲线是本次统一原尺度拟合，而非原文拟合图。[1]</w:t>
      </w:r>
    </w:p>
    <w:p>
      <w:pPr>
        <w:spacing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46442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lease_prima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644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图1 主释放曲线及残差。为便于阅读，图中展示四个代表候选；结果表列出全部七个设定。残差为读图均值减拟合值，单位为百分点。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3061"/>
        <w:gridCol w:w="1587"/>
        <w:gridCol w:w="1587"/>
        <w:gridCol w:w="1701"/>
        <w:gridCol w:w="1701"/>
      </w:tblGrid>
      <w:tr>
        <w:trPr>
          <w:cantSplit/>
          <w:tblHeader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模型设定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Lps RMSE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Lps AICc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RL Lps RMSE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RL Lps AICc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零级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13.38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39.13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7.13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31.56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Higuchi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7.12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31.56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4.22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25.28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2.26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17.80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3.31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22.35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自由平台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2.26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27.80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1.70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24.38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Peppas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5.58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38.63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2.16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27.22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固定平台100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2.08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26.80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1.63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23.88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1.67</w:t>
            </w:r>
          </w:p>
        </w:tc>
        <w:tc>
          <w:tcPr>
            <w:tcW w:type="dxa" w:w="158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54.12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1.57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53.39</w:t>
            </w:r>
          </w:p>
        </w:tc>
      </w:tr>
    </w:tbl>
    <w:p>
      <w:pPr>
        <w:spacing w:after="20"/>
      </w:pPr>
    </w:p>
    <w:p>
      <w:r>
        <w:rPr>
          <w:b w:val="0"/>
          <w:sz w:val="18"/>
        </w:rPr>
        <w:t>原文已经比较零级、一级、Higuchi和Peppas。本次增加的是统一点集和尺度后的可比性、平台约束及稳健性检查，不将重新拟合这四类模型本身当作创新。表中数值也不能直接替代原文R²；原文拟合域、权重和早期点使用方式未完全明确。本次只分析六个可定时点，不声称精确复现原文全点模型排名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4 模型排序对哪些设定敏感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1814"/>
        <w:gridCol w:w="1701"/>
        <w:gridCol w:w="850"/>
        <w:gridCol w:w="2636"/>
        <w:gridCol w:w="2636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曲线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情景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时点数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条件AICc最低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RMSE最低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主分析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删首点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删末点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前半观察窗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Peppas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Cur-RL-Lps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主分析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Cur-RL-Lps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删首点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Cur-RL-Lps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删末点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Peppas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Cur-RL-Lps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前半观察窗</w:t>
            </w:r>
          </w:p>
        </w:tc>
        <w:tc>
          <w:tcPr>
            <w:tcW w:type="dxa" w:w="850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Higuchi</w:t>
            </w:r>
          </w:p>
        </w:tc>
        <w:tc>
          <w:tcPr>
            <w:tcW w:type="dxa" w:w="263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</w:tr>
    </w:tbl>
    <w:p>
      <w:pPr>
        <w:spacing w:after="20"/>
      </w:pPr>
    </w:p>
    <w:p>
      <w:r>
        <w:rPr>
          <w:b w:val="0"/>
        </w:rPr>
        <w:t>短窗的AICc候选集合会因样本量限制减少；未定义的高参数候选不当作“最差模型”。因此不同情景间的赢家变化同时反映数据与可比较候选集合的变化，需要结合RMSE、残差与参数解释。</w:t>
      </w:r>
    </w:p>
    <w:p>
      <w:pPr>
        <w:pStyle w:val="Heading2"/>
      </w:pPr>
      <w:r>
        <w:rPr>
          <w:color w:val="000000"/>
        </w:rPr>
        <w:t>读取范围扰动的排序频率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1814"/>
        <w:gridCol w:w="1701"/>
        <w:gridCol w:w="6123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曲线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准则</w:t>
            </w:r>
          </w:p>
        </w:tc>
        <w:tc>
          <w:tcPr>
            <w:tcW w:type="dxa" w:w="612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本次100次设定内扰动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条件AICc</w:t>
            </w:r>
          </w:p>
        </w:tc>
        <w:tc>
          <w:tcPr>
            <w:tcW w:type="dxa" w:w="612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固定平台100：100/100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RMSE</w:t>
            </w:r>
          </w:p>
        </w:tc>
        <w:tc>
          <w:tcPr>
            <w:tcW w:type="dxa" w:w="612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自由平台：100/100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Cur-RL-Lps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条件AICc</w:t>
            </w:r>
          </w:p>
        </w:tc>
        <w:tc>
          <w:tcPr>
            <w:tcW w:type="dxa" w:w="612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固定平台100：99/100；Weibull 固定平台100：1/100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Cur-RL-Lps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RMSE</w:t>
            </w:r>
          </w:p>
        </w:tc>
        <w:tc>
          <w:tcPr>
            <w:tcW w:type="dxa" w:w="612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自由平台：100/100</w:t>
            </w:r>
          </w:p>
        </w:tc>
      </w:tr>
    </w:tbl>
    <w:p>
      <w:pPr>
        <w:spacing w:after="20"/>
      </w:pPr>
    </w:p>
    <w:p>
      <w:pPr>
        <w:spacing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760000" cy="2255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tform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255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图2 平台五点粗网格敏感性。纵轴为SSE对数轴；每个固定平台下仅优化剩余参数。较低SSE不证明相应平台为真实终末值。</w:t>
      </w:r>
    </w:p>
    <w:p>
      <w:r>
        <w:rPr>
          <w:b w:val="0"/>
          <w:sz w:val="18"/>
        </w:rPr>
        <w:t>读取扰动较小只说明当前像素公差内的局部敏感性；它不能覆盖未确认早期点、平台外推、测量链与原实验变异。当前没有将粗网格转写成参数置信区间，也没有以模型排序宣称释放机制。</w:t>
      </w:r>
    </w:p>
    <w:p>
      <w:r>
        <w:rPr>
          <w:b w:val="0"/>
          <w:sz w:val="18"/>
        </w:rPr>
        <w:t>按Cur-Lps、Cur-RL-Lps顺序，固定平台一级的k为0.03182、0.01445 h⁻¹；自由平台Weibull的A为92.83%、82.50%，τ为26.54、52.61 h，β为1.151、0.895。Cur-Lps自由平台一级的A贴近100%上界。这些是表观曲线参数，不能拆解成载体释放与膜传输各自的速率。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5 辅助案例与机制解释的界限</w:t>
      </w:r>
    </w:p>
    <w:p>
      <w:r>
        <w:rPr>
          <w:b w:val="0"/>
        </w:rPr>
        <w:t>彭盛峰博士论文Fig.4.6提供两组离心法释放曲线，各8个非零时间点。本次以相同计算框架分别运行，保留其独立的测量口径，不与透析曲线共享参数。[2]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1417"/>
        <w:gridCol w:w="2721"/>
        <w:gridCol w:w="1247"/>
        <w:gridCol w:w="3005"/>
        <w:gridCol w:w="1247"/>
      </w:tblGrid>
      <w:tr>
        <w:trPr>
          <w:cantSplit/>
          <w:tblHeader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辅助曲线</w:t>
            </w:r>
          </w:p>
        </w:tc>
        <w:tc>
          <w:tcPr>
            <w:tcW w:type="dxa" w:w="272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条件AICc最低</w:t>
            </w:r>
          </w:p>
        </w:tc>
        <w:tc>
          <w:tcPr>
            <w:tcW w:type="dxa" w:w="124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其RMSE</w:t>
            </w:r>
          </w:p>
        </w:tc>
        <w:tc>
          <w:tcPr>
            <w:tcW w:type="dxa" w:w="300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RMSE最低</w:t>
            </w:r>
          </w:p>
        </w:tc>
        <w:tc>
          <w:tcPr>
            <w:tcW w:type="dxa" w:w="124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其RMSE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Cur-HBLs</w:t>
            </w:r>
          </w:p>
        </w:tc>
        <w:tc>
          <w:tcPr>
            <w:tcW w:type="dxa" w:w="272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自由平台</w:t>
            </w:r>
          </w:p>
        </w:tc>
        <w:tc>
          <w:tcPr>
            <w:tcW w:type="dxa" w:w="124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0.62</w:t>
            </w:r>
          </w:p>
        </w:tc>
        <w:tc>
          <w:tcPr>
            <w:tcW w:type="dxa" w:w="300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  <w:tc>
          <w:tcPr>
            <w:tcW w:type="dxa" w:w="124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0.62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Cur-PLLs</w:t>
            </w:r>
          </w:p>
        </w:tc>
        <w:tc>
          <w:tcPr>
            <w:tcW w:type="dxa" w:w="272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一级 自由平台</w:t>
            </w:r>
          </w:p>
        </w:tc>
        <w:tc>
          <w:tcPr>
            <w:tcW w:type="dxa" w:w="124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0.44</w:t>
            </w:r>
          </w:p>
        </w:tc>
        <w:tc>
          <w:tcPr>
            <w:tcW w:type="dxa" w:w="300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Weibull 自由平台</w:t>
            </w:r>
          </w:p>
        </w:tc>
        <w:tc>
          <w:tcPr>
            <w:tcW w:type="dxa" w:w="124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0.43</w:t>
            </w:r>
          </w:p>
        </w:tc>
      </w:tr>
    </w:tbl>
    <w:p>
      <w:pPr>
        <w:spacing w:after="20"/>
      </w:pPr>
    </w:p>
    <w:p>
      <w:pPr>
        <w:spacing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32604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xiliary_identifiabilit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60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图3 左侧为独立的离心法重建均值。右侧是理想串联模型的解析演示，速率取值人为指定，仅用于说明交换对称性；没有用它拟合左侧或任何文献数据。</w:t>
      </w:r>
    </w:p>
    <w:p>
      <w:pPr>
        <w:pStyle w:val="Heading2"/>
      </w:pPr>
      <w:r>
        <w:rPr>
          <w:color w:val="000000"/>
        </w:rPr>
        <w:t>为什么多加机制参数不一定增加信息</w:t>
      </w:r>
    </w:p>
    <w:p>
      <w:r>
        <w:rPr>
          <w:b w:val="0"/>
        </w:rPr>
        <w:t>理想不可逆串联过程“载体内药物→袋内游离药物→外液”只有一个外液累计输出时，交换两个一级速率会得到完全相同的曲线。即使理想无噪声数据，也不能仅凭这一输出指定哪个速率属于载体释放、哪个属于过膜。</w:t>
      </w:r>
    </w:p>
    <w:p>
      <w:pPr>
        <w:spacing w:line="240" w:lineRule="auto"/>
      </w:pPr>
      <w:r>
        <w:rPr>
          <w:b w:val="0"/>
        </w:rPr>
      </w:r>
      <m:oMath>
        <m:r>
          <m:t>F(t) = 1 − </m:t>
        </m:r>
        <m:f>
          <m:num>
            <m:sSub>
              <m:e>
                <m:r>
                  <m:t>k</m:t>
                </m:r>
              </m:e>
              <m:sub>
                <m:r>
                  <m:t>2</m:t>
                </m:r>
              </m:sub>
            </m:sSub>
            <m:sSup>
              <m:e>
                <m:r>
                  <m:t>e</m:t>
                </m:r>
              </m:e>
              <m:sup>
                <m:r>
                  <m:t>−</m:t>
                </m:r>
                <m:sSub>
                  <m:e>
                    <m:r>
                      <m:t>k</m:t>
                    </m:r>
                  </m:e>
                  <m:sub>
                    <m:r>
                      <m:t>1</m:t>
                    </m:r>
                  </m:sub>
                </m:sSub>
                <m:r>
                  <m:t>t</m:t>
                </m:r>
              </m:sup>
            </m:sSup>
            <m:r>
              <m:t> − </m:t>
            </m:r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sSup>
              <m:e>
                <m:r>
                  <m:t>e</m:t>
                </m:r>
              </m:e>
              <m:sup>
                <m:r>
                  <m:t>−</m:t>
                </m:r>
                <m:sSub>
                  <m:e>
                    <m:r>
                      <m:t>k</m:t>
                    </m:r>
                  </m:e>
                  <m:sub>
                    <m:r>
                      <m:t>2</m:t>
                    </m:r>
                  </m:sub>
                </m:sSub>
                <m:r>
                  <m:t>t</m:t>
                </m:r>
              </m:sup>
            </m:sSup>
          </m:num>
          <m:den>
            <m:sSub>
              <m:e>
                <m:r>
                  <m:t>k</m:t>
                </m:r>
              </m:e>
              <m:sub>
                <m:r>
                  <m:t>2</m:t>
                </m:r>
              </m:sub>
            </m:sSub>
            <m:r>
              <m:t> − </m:t>
            </m:r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</m:den>
        </m:f>
      </m:oMath>
    </w:p>
    <w:p>
      <w:r>
        <w:rPr>
          <w:b w:val="0"/>
        </w:rPr>
        <w:t>上式F为0至1归一化量，图3展示100F；两个速率单位为h⁻¹。该对称性针对明确初值和理想模型，不是说所有双速率模型都不可辨识。现实中的有限体积、回扩散、吸附、化学损失和回收率会进一步改变观测关系；现有外液曲线不足以直接拆分这些过程。下一步应先增加有区分力的观测，而不是增加可自由拟合的速率。</w:t>
      </w:r>
    </w:p>
    <w:p>
      <w:pPr>
        <w:pStyle w:val="Heading2"/>
      </w:pPr>
      <w:r>
        <w:rPr>
          <w:color w:val="000000"/>
        </w:rPr>
        <w:t>原表回放的用途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曲线</w:t>
            </w:r>
          </w:p>
        </w:tc>
        <w:tc>
          <w:tcPr>
            <w:tcW w:type="dxa" w:w="78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原Table 1参数在本次保留点上的RMSE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Cur-Lps</w:t>
            </w:r>
          </w:p>
        </w:tc>
        <w:tc>
          <w:tcPr>
            <w:tcW w:type="dxa" w:w="78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零级 13.38；一级 自由平台 2.27；Higuchi 7.15；Peppas 5.63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Cur-RL-Lps</w:t>
            </w:r>
          </w:p>
        </w:tc>
        <w:tc>
          <w:tcPr>
            <w:tcW w:type="dxa" w:w="78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零级 7.13；一级 自由平台 1.84；Higuchi 4.23；Peppas 2.20</w:t>
            </w:r>
          </w:p>
        </w:tc>
      </w:tr>
    </w:tbl>
    <w:p>
      <w:pPr>
        <w:spacing w:after="20"/>
      </w:pPr>
    </w:p>
    <w:p>
      <w:r>
        <w:rPr>
          <w:b w:val="0"/>
          <w:sz w:val="18"/>
        </w:rPr>
        <w:t>回放保留原表一级平台100.082%，不为符合本次自由平台上限而改写。图示均值与原表预测的差别可来自读图、点集、目标尺度或软件设置，不能据此判定作者计算错误。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6 水凝胶图示信号与条件损失分析</w:t>
      </w:r>
    </w:p>
    <w:p>
      <w:r>
        <w:rPr>
          <w:b w:val="0"/>
        </w:rPr>
        <w:t>CEVs-PB较早上升，CEVs-PSAB在前半时段保持较低图示信号、随后上升。该形状支持在本次测量口径下存在延后出现的信号，但不能单独证明完整姜黄素真实释放通量、凝胶侵蚀或囊泡膜破裂过程。[3]</w:t>
      </w:r>
    </w:p>
    <w:p>
      <w:pPr>
        <w:spacing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49776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ydroge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977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图4 左侧为真实标记重建；虚线标出图示2、4 h阶段切换。右侧以CEVs的表观损失指数进行条件校正，0、1、2倍仅为假设情景，纵轴不是释放质量。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1984"/>
        <w:gridCol w:w="2041"/>
        <w:gridCol w:w="1757"/>
        <w:gridCol w:w="1928"/>
        <w:gridCol w:w="1928"/>
      </w:tblGrid>
      <w:tr>
        <w:trPr>
          <w:cantSplit/>
          <w:tblHeader/>
        </w:trPr>
        <w:tc>
          <w:tcPr>
            <w:tcW w:type="dxa" w:w="198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组别</w:t>
            </w:r>
          </w:p>
        </w:tc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网格最大信号 %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全程时刻 h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首次观测≥50% h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1至24h信号面积 %·h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CEVs</w:t>
            </w:r>
          </w:p>
        </w:tc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98.28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1797.6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CEVs-PB</w:t>
            </w:r>
          </w:p>
        </w:tc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70.55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1071.9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CEVs-PSAB</w:t>
            </w:r>
          </w:p>
        </w:tc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73.79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19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736.8</w:t>
            </w:r>
          </w:p>
        </w:tc>
      </w:tr>
    </w:tbl>
    <w:p>
      <w:pPr>
        <w:spacing w:after="20"/>
      </w:pPr>
    </w:p>
    <w:p>
      <w:r>
        <w:rPr>
          <w:b w:val="0"/>
        </w:rPr>
        <w:t>PB全程20 h的最高观测值对应结肠阶段开始后约16 h；PSAB全程24 h末点对应约20 h。以名义4 h切换为起点即可解释正文16/20 h的另一计时口径，不能直接称为图文错误。PSAB最高值出现在最后观察点，真实峰时尚未被该观察窗限定。</w:t>
      </w:r>
    </w:p>
    <w:p>
      <w:pPr>
        <w:pStyle w:val="Heading2"/>
      </w:pPr>
      <w:r>
        <w:rPr>
          <w:color w:val="000000"/>
        </w:rPr>
        <w:t>损失校正能说明什么</w:t>
      </w:r>
    </w:p>
    <w:p>
      <w:r>
        <w:rPr>
          <w:b w:val="0"/>
        </w:rPr>
        <w:t>由CEVs首个可定时点1 h至24 h下降计算的表观损失指数为0.01888 h⁻¹。只有在共同归一化、固定回收率与一级信号损失等假设成立时，才可用它修正信号变化。这里以1 h为索引起点，不将其假定为真实零释放时刻。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835"/>
        <w:gridCol w:w="1701"/>
        <w:gridCol w:w="1701"/>
        <w:gridCol w:w="1701"/>
        <w:gridCol w:w="1701"/>
      </w:tblGrid>
      <w:tr>
        <w:trPr>
          <w:cantSplit/>
          <w:tblHeader/>
        </w:trPr>
        <w:tc>
          <w:tcPr>
            <w:tcW w:type="dxa" w:w="283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24h条件校正指数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0倍损失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0.5倍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1倍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2倍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CEVs-PB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67.41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77.53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87.64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107.88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CEVs-PSAB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73.28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80.23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87.19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101.10</w:t>
            </w:r>
          </w:p>
        </w:tc>
      </w:tr>
    </w:tbl>
    <w:p>
      <w:pPr>
        <w:spacing w:after="20"/>
      </w:pPr>
    </w:p>
    <w:p>
      <w:r>
        <w:rPr>
          <w:b w:val="0"/>
          <w:sz w:val="18"/>
        </w:rPr>
        <w:t>同一信号在不同损失假设下对应不同校正量；出现超过100的指数或负的区间通量时均保留，不截断成看似合理的释放结果。CEVs本身在1倍常数损失修正下仍有负区间通量，说明一个首末点指数不能解释所有局部变化。当前不报告真实释放、凝胶降解或膜降解常数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7 代谢物均值曲线的AUC重算</w:t>
      </w:r>
    </w:p>
    <w:p>
      <w:r>
        <w:rPr>
          <w:b w:val="0"/>
        </w:rPr>
        <w:t>本模块的分析物为姜黄素葡萄糖醛酸代谢物，三种给药组为游离悬浮液、皂素包被纳米粒子和槐糖脂包被纳米粒子。主结果为0.5至8 h均值曲线面积，避免将未确认实测的0 h基线当作采血点。[2,4–5]</w:t>
      </w:r>
    </w:p>
    <w:p>
      <w:pPr>
        <w:spacing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49612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k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96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图5 给药后五时点重建均值。右侧单独放大游离给药组，仅显示近轴读取困难；不改变左侧三组比较尺度。误差线为读取界限，不是动物变异。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041"/>
        <w:gridCol w:w="1389"/>
        <w:gridCol w:w="1729"/>
        <w:gridCol w:w="1502"/>
        <w:gridCol w:w="1701"/>
        <w:gridCol w:w="1276"/>
      </w:tblGrid>
      <w:tr>
        <w:trPr>
          <w:cantSplit/>
          <w:tblHeader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6"/>
              </w:rPr>
              <w:t>给药组</w:t>
            </w:r>
          </w:p>
        </w:tc>
        <w:tc>
          <w:tcPr>
            <w:tcW w:type="dxa" w:w="138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6"/>
              </w:rPr>
              <w:t>0.5至8h</w:t>
              <w:br/>
              <w:t>线性</w:t>
            </w:r>
          </w:p>
        </w:tc>
        <w:tc>
          <w:tcPr>
            <w:tcW w:type="dxa" w:w="172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6"/>
              </w:rPr>
              <w:t>0.5至8h</w:t>
              <w:br/>
              <w:t>线性上对数下</w:t>
            </w:r>
          </w:p>
        </w:tc>
        <w:tc>
          <w:tcPr>
            <w:tcW w:type="dxa" w:w="150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6"/>
              </w:rPr>
              <w:t>0至8h</w:t>
              <w:br/>
              <w:t>线性 C0=0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6"/>
              </w:rPr>
              <w:t>0至8h</w:t>
              <w:br/>
              <w:t>混合 C0=0</w:t>
            </w:r>
          </w:p>
        </w:tc>
        <w:tc>
          <w:tcPr>
            <w:tcW w:type="dxa" w:w="127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6"/>
              </w:rPr>
              <w:t>原报</w:t>
              <w:br/>
              <w:t>0至8h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Free curcumin</w:t>
            </w:r>
          </w:p>
        </w:tc>
        <w:tc>
          <w:tcPr>
            <w:tcW w:type="dxa" w:w="138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1.428</w:t>
            </w:r>
          </w:p>
        </w:tc>
        <w:tc>
          <w:tcPr>
            <w:tcW w:type="dxa" w:w="172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1.391</w:t>
            </w:r>
          </w:p>
        </w:tc>
        <w:tc>
          <w:tcPr>
            <w:tcW w:type="dxa" w:w="150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1.516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1.479</w:t>
            </w:r>
          </w:p>
        </w:tc>
        <w:tc>
          <w:tcPr>
            <w:tcW w:type="dxa" w:w="127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1.43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Saponin</w:t>
            </w:r>
          </w:p>
        </w:tc>
        <w:tc>
          <w:tcPr>
            <w:tcW w:type="dxa" w:w="138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12.382</w:t>
            </w:r>
          </w:p>
        </w:tc>
        <w:tc>
          <w:tcPr>
            <w:tcW w:type="dxa" w:w="172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11.894</w:t>
            </w:r>
          </w:p>
        </w:tc>
        <w:tc>
          <w:tcPr>
            <w:tcW w:type="dxa" w:w="150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14.111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13.624</w:t>
            </w:r>
          </w:p>
        </w:tc>
        <w:tc>
          <w:tcPr>
            <w:tcW w:type="dxa" w:w="127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14.12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Sophorolipid</w:t>
            </w:r>
          </w:p>
        </w:tc>
        <w:tc>
          <w:tcPr>
            <w:tcW w:type="dxa" w:w="138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6.050</w:t>
            </w:r>
          </w:p>
        </w:tc>
        <w:tc>
          <w:tcPr>
            <w:tcW w:type="dxa" w:w="1729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5.704</w:t>
            </w:r>
          </w:p>
        </w:tc>
        <w:tc>
          <w:tcPr>
            <w:tcW w:type="dxa" w:w="150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6.343</w:t>
            </w:r>
          </w:p>
        </w:tc>
        <w:tc>
          <w:tcPr>
            <w:tcW w:type="dxa" w:w="170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5.996</w:t>
            </w:r>
          </w:p>
        </w:tc>
        <w:tc>
          <w:tcPr>
            <w:tcW w:type="dxa" w:w="1276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6"/>
              </w:rPr>
              <w:t>6.51</w:t>
            </w:r>
          </w:p>
        </w:tc>
      </w:tr>
    </w:tbl>
    <w:p>
      <w:pPr>
        <w:spacing w:after="20"/>
      </w:pPr>
    </w:p>
    <w:p>
      <w:pPr>
        <w:pStyle w:val="Caption"/>
      </w:pPr>
      <w:r>
        <w:t>AUC单位均为μg·h/mL。原报列是已发表汇总，不参与本次拟合或调整；“混合”为上升段线性、正值下降段对数梯形。</w:t>
      </w:r>
    </w:p>
    <w:p>
      <w:r>
        <w:rPr>
          <w:b w:val="0"/>
        </w:rPr>
        <w:t>三组面积排序在两种积分法下相同。皂素组线性C0=0情景为14.111，与原报14.12接近；其余组不完全一致并不自动表示原表错误。读图、原积分方法与基线口径均可能参与差别。在相同完整时间网格和线性规则下，积分与取均值可交换；仅“先算个体再汇总”本身不造成差别。对数梯形为非线性运算，或缺失值处理不同时，均值曲线结果才未必等于个体结果均值。</w:t>
      </w:r>
    </w:p>
    <w:p>
      <w:pPr>
        <w:pStyle w:val="Heading2"/>
      </w:pPr>
      <w:r>
        <w:rPr>
          <w:color w:val="000000"/>
        </w:rPr>
        <w:t>比值与提高幅度分别报告</w:t>
      </w:r>
    </w:p>
    <w:p>
      <w:r>
        <w:rPr>
          <w:b w:val="0"/>
        </w:rPr>
        <w:t>本次0.5至8 h线性面积的皂素/游离比为8.67，槐糖脂/游离比为4.24。原表0至8 h比值则为9.87和4.55；对应相对增量为8.87和3.55倍。中文“提高了8.9倍/3.6倍”可指增量口径，不能机械判为算术错误。不同积分窗的比值不应混列为同一估计。</w:t>
      </w:r>
    </w:p>
    <w:p>
      <w:r>
        <w:rPr>
          <w:b w:val="0"/>
          <w:sz w:val="18"/>
        </w:rPr>
        <w:t>观察网格峰值时刻分别为1、0.5、1 h。皂素峰在第一个采血点，不能据此确认真实峰恰为0.5 h。未估计母体药代、绝对生物利用度、AUC无穷、半衰期或个体变异。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8 采样与读取不确定性带来的影响</w:t>
      </w:r>
    </w:p>
    <w:p>
      <w:r>
        <w:rPr>
          <w:b w:val="0"/>
        </w:rPr>
        <w:t>对稀疏均值曲线，删除时点既可能改变积分窗口，也可能改变窗口内连接形状。本次分别报告这两件事，避免把少算一段时间造成的面积减少全部称为采样偏差。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381"/>
        <w:gridCol w:w="1814"/>
        <w:gridCol w:w="1814"/>
        <w:gridCol w:w="1814"/>
        <w:gridCol w:w="1814"/>
      </w:tblGrid>
      <w:tr>
        <w:trPr>
          <w:cantSplit/>
          <w:tblHeader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给药组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原网格</w:t>
              <w:br/>
              <w:t>0至8h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删0.5h</w:t>
              <w:br/>
              <w:t>0至8h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删1h</w:t>
              <w:br/>
              <w:t>0至8h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删0.5h</w:t>
              <w:br/>
              <w:t>改为1至8h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Free curcumin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1.516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1.463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1.393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1.217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Saponin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14.111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11.580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15.257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9.725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Sophorolipid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6.343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6.437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5.255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5.079</w:t>
            </w:r>
          </w:p>
        </w:tc>
      </w:tr>
    </w:tbl>
    <w:p>
      <w:pPr>
        <w:spacing w:after="20"/>
      </w:pPr>
    </w:p>
    <w:p>
      <w:pPr>
        <w:pStyle w:val="Caption"/>
      </w:pPr>
      <w:r>
        <w:t>本表全部采用线性梯形。前三个面积列共同采用C0=0；最右列仅使用保留的观测时间，不与前三列直接当作相同窗口比较。</w:t>
      </w:r>
    </w:p>
    <w:p>
      <w:r>
        <w:rPr>
          <w:b w:val="0"/>
        </w:rPr>
        <w:t>在共同0至8 h、C0=0情景下，皂素组删除0.5 h使面积由14.111降至11.580，约减少17.9%；槐糖脂组删除1 h使面积由6.343降至5.255，约减少17.2%。这说明早期峰附近信息对当前网格计算有实际影响，不证明真实采样偏差大小或最优动物采样方案。</w:t>
      </w:r>
    </w:p>
    <w:p>
      <w:pPr>
        <w:pStyle w:val="Heading2"/>
      </w:pPr>
      <w:r>
        <w:rPr>
          <w:color w:val="000000"/>
        </w:rPr>
        <w:t>读取范围扰动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381"/>
        <w:gridCol w:w="3628"/>
        <w:gridCol w:w="3628"/>
      </w:tblGrid>
      <w:tr>
        <w:trPr>
          <w:cantSplit/>
          <w:tblHeader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给药组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线性AUC0.5至8h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混合规则AUC0.5至8h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Free curcumin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1.008 至 1.936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0.958 至 1.911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Saponin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12.043 至 12.704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11.550 至 12.244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Sophorolipid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5.684 至 6.430</w:t>
            </w:r>
          </w:p>
        </w:tc>
        <w:tc>
          <w:tcPr>
            <w:tcW w:type="dxa" w:w="3628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5.267 至 6.120</w:t>
            </w:r>
          </w:p>
        </w:tc>
      </w:tr>
    </w:tbl>
    <w:p>
      <w:pPr>
        <w:spacing w:after="20"/>
      </w:pPr>
    </w:p>
    <w:p>
      <w:r>
        <w:rPr>
          <w:b w:val="0"/>
        </w:rPr>
        <w:t>上表为100次独立均匀读取扰动中实际出现的最小值与最大值，不是理论最坏界限，也不是95%置信区间。游离组8 h原读取下界略低于零；主情景在物理零处截断这一处下界，并保留原界限。它不是零浓度观测或定量下限代入。低信号组的相对敏感性明显更大。</w:t>
      </w:r>
    </w:p>
    <w:p>
      <w:pPr>
        <w:pStyle w:val="Heading2"/>
      </w:pPr>
      <w:r>
        <w:rPr>
          <w:color w:val="000000"/>
        </w:rPr>
        <w:t>哪些区间贡献面积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381"/>
        <w:gridCol w:w="1814"/>
        <w:gridCol w:w="1814"/>
        <w:gridCol w:w="1814"/>
        <w:gridCol w:w="1814"/>
      </w:tblGrid>
      <w:tr>
        <w:trPr>
          <w:cantSplit/>
          <w:tblHeader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给药组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0至0.5h面积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占0至8h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4至8h面积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7"/>
              </w:rPr>
              <w:t>占0至8h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Free curcumin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0.088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5.8%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0.421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27.8%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Saponin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1.729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12.3%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3.698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26.2%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Sophorolipid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0.293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4.6%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1.147</w:t>
            </w:r>
          </w:p>
        </w:tc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7"/>
              </w:rPr>
              <w:t>18.1%</w:t>
            </w:r>
          </w:p>
        </w:tc>
      </w:tr>
    </w:tbl>
    <w:p>
      <w:pPr>
        <w:spacing w:after="20"/>
      </w:pPr>
    </w:p>
    <w:p>
      <w:r>
        <w:rPr>
          <w:b w:val="0"/>
          <w:sz w:val="18"/>
        </w:rPr>
        <w:t>早段面积依赖C0=0假设；末段只有4、8 h两个端点且定量下限不明。即便末段占比不小，也不能因此拟合可靠的终末消除速率或向无穷时间外推。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9 下一步最少需要补充什么</w:t>
      </w:r>
    </w:p>
    <w:p>
      <w:r>
        <w:rPr>
          <w:b w:val="0"/>
        </w:rPr>
        <w:t>首轮计算的作用是把补充数据请求与可回答的问题一一对应。优先增加能区分过程的观测，不以追求更复杂方程为目标；下列均为后续讨论建议，尚未开展湿实验，也未联系作者。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1814"/>
        <w:gridCol w:w="4252"/>
        <w:gridCol w:w="3572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优先事项</w:t>
            </w:r>
          </w:p>
        </w:tc>
        <w:tc>
          <w:tcPr>
            <w:tcW w:type="dxa" w:w="425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具体资料或测量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它能解决的问题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主释放资料</w:t>
            </w:r>
          </w:p>
        </w:tc>
        <w:tc>
          <w:tcPr>
            <w:tcW w:type="dxa" w:w="425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逐袋或逐批外液浓度、准确时刻、取补液体积、初始实测载量、原拟合文件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核对累计质量算法、误差相关性和原表复现差异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过膜与化学存活</w:t>
            </w:r>
          </w:p>
        </w:tc>
        <w:tc>
          <w:tcPr>
            <w:tcW w:type="dxa" w:w="425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同介质自由药物过膜对照；空载体加自由药物；释放介质稳定性；终末袋内外与膜回收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区分载体释放、膜限制、吸附与完整药物损失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水凝胶观测口径</w:t>
            </w:r>
          </w:p>
        </w:tc>
        <w:tc>
          <w:tcPr>
            <w:tcW w:type="dxa" w:w="425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体积、取样与归一化记录；同时测珠内和介质中的完整姜黄素及回收率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判断图示信号能否转为质量，并约束释放与损失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具体载体机制</w:t>
            </w:r>
          </w:p>
        </w:tc>
        <w:tc>
          <w:tcPr>
            <w:tcW w:type="dxa" w:w="425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若研究凝胶侵蚀，测剩余干质量或溶出聚合物；若研究膜破裂，测膜完整性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让所声称机制有对应的独立观测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代谢物数值分析</w:t>
            </w:r>
          </w:p>
        </w:tc>
        <w:tc>
          <w:tcPr>
            <w:tcW w:type="dxa" w:w="425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逐动物时间浓度表、分析验证及定量下限、原AUC算法、论文样本谱系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区分均值曲线与个体积分，判断尾部可用性及是否可外部验证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color w:val="000000"/>
        </w:rPr>
        <w:t>适合先由申请者推进的部分</w:t>
      </w:r>
    </w:p>
    <w:p>
      <w:r>
        <w:rPr>
          <w:b w:val="0"/>
        </w:rPr>
        <w:t>继续整理测量链和数据字典，完善读取与验证工具，复现已有计算，并把结果转化为可检验的补充观测建议。这一工作将药学问题界定与程序实现结合，能够展示主动研究、执行和可复核交付能力。若获得新数据，可沿用现有模块逐步替换图示均值，而不必重建整个分析框架。</w:t>
      </w:r>
    </w:p>
    <w:p>
      <w:pPr>
        <w:pStyle w:val="Heading2"/>
      </w:pPr>
      <w:r>
        <w:rPr>
          <w:color w:val="000000"/>
        </w:rPr>
        <w:t>进入下一阶段的判断标准</w:t>
      </w:r>
    </w:p>
    <w:p>
      <w:r>
        <w:rPr>
          <w:b w:val="0"/>
        </w:rPr>
        <w:t>若原始数据与处理记录可得，先复现作者定义的观测量并校准误差结构；若关键测量链仍不清楚，则保留为透明的均值曲线再分析，不继续扩展机制速率。只有相应独立观测到位，才评估更低维的释放与损失模型能否被实际数据约束。</w:t>
      </w:r>
    </w:p>
    <w:p>
      <w:r>
        <w:rPr>
          <w:b w:val="0"/>
        </w:rPr>
        <w:t>对药代模块，获得个体数据并明确分析物、定量与采样后，才讨论个体AUC或进一步药代问题。当前不同制剂、不同实验的体外释放与体内代谢物曲线不匹配，不尝试直接连接，也不用于临床剂量建议。</w:t>
      </w:r>
    </w:p>
    <w:p>
      <w:pPr>
        <w:pStyle w:val="Heading2"/>
      </w:pPr>
      <w:r>
        <w:rPr>
          <w:color w:val="000000"/>
        </w:rPr>
        <w:t>现阶段的研究定位</w:t>
      </w:r>
    </w:p>
    <w:p>
      <w:r>
        <w:rPr>
          <w:b w:val="0"/>
        </w:rPr>
        <w:t>这项早期研究已完成资料核查、数据重建和计算复核，形成了可重复的结果与具体的数据请求。它有助于减少后续模型的无效复杂度，并为实验安排提供依据；当前仍保留机制解释的不确定性，不将其包装成已完成机制验证的成熟论文。</w:t>
      </w:r>
    </w:p>
    <w:p>
      <w:r>
        <w:br w:type="page"/>
      </w:r>
    </w:p>
    <w:p>
      <w:pPr>
        <w:pStyle w:val="Heading1"/>
      </w:pPr>
      <w:r>
        <w:rPr>
          <w:color w:val="000000"/>
        </w:rPr>
        <w:t>10 可复现性与来源说明</w:t>
      </w:r>
    </w:p>
    <w:p>
      <w:r>
        <w:rPr>
          <w:b w:val="0"/>
        </w:rPr>
        <w:t>计算项目名为curcu-kinetics-lab，输入数字化均值、原报汇总和合成演示严格分类。冻结数据ZIP包含CSV及来源元数据，不包含原文PDF、原图或未授权重复记录。运行时先核验归档与各成员哈希，再执行分析；完整输出、残差、平台粗网格与扰动结果均保留为CSV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2D8"/>
          <w:left w:val="single" w:sz="4" w:color="CBD2D8"/>
          <w:bottom w:val="single" w:sz="4" w:color="CBD2D8"/>
          <w:right w:val="single" w:sz="4" w:color="CBD2D8"/>
          <w:insideH w:val="single" w:sz="4" w:color="CBD2D8"/>
          <w:insideV w:val="single" w:sz="4" w:color="CBD2D8"/>
        </w:tblBorders>
      </w:tblPr>
      <w:tblGrid>
        <w:gridCol w:w="2324"/>
        <w:gridCol w:w="7313"/>
      </w:tblGrid>
      <w:tr>
        <w:trPr>
          <w:cantSplit/>
          <w:tblHeader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复核事项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  <w:shd w:fill="E8EDF1"/>
          </w:tcPr>
          <w:p>
            <w:pPr>
              <w:spacing w:after="0" w:line="250" w:lineRule="exact"/>
            </w:pPr>
            <w:r>
              <w:rPr>
                <w:b/>
                <w:color w:val="000000"/>
                <w:sz w:val="18"/>
              </w:rPr>
              <w:t>实际状态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拟合前记录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研究构想、协议与执行澄清均先于首次真实数据拟合；不是盲法预注册研究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图形与数据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73个主要标记核查；141项来源、坐标及重建检查通过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计算范围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4条释放曲线分别分析；3条水凝胶信号；3条代谢物均值曲线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独立执行验收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20项测试、1000项独立算术检查通过；13个CSV在新目录逐字节复现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参数与随机性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三个确定性起点；100次读取扰动；固定种子20261025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归档标识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数据SHA256前16位  d287516e3c8c5176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协议标识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协议SHA256前16位  124a36dbc5626521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输出解释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80" w:type="dxa"/>
              <w:right w:w="80" w:type="dxa"/>
            </w:tcMar>
          </w:tcPr>
          <w:p>
            <w:pPr>
              <w:spacing w:after="0" w:line="250" w:lineRule="exact"/>
            </w:pPr>
            <w:r>
              <w:rPr>
                <w:b w:val="0"/>
                <w:color w:val="000000"/>
                <w:sz w:val="18"/>
              </w:rPr>
              <w:t>读取敏感性不等于生物学置信；条件AICc不等于模型正确概率</w:t>
            </w:r>
          </w:p>
        </w:tc>
      </w:tr>
    </w:tbl>
    <w:p>
      <w:pPr>
        <w:spacing w:after="20"/>
      </w:pPr>
    </w:p>
    <w:p>
      <w:r>
        <w:rPr>
          <w:b w:val="0"/>
          <w:sz w:val="18"/>
        </w:rPr>
        <w:t>完整哈希、软件版本、代码标识和实测运行耗时保存在项目记录中。新目录完整重跑实测约46.6秒。首轮执行后的数值稳定性修补以单独记录保留并重跑，若不改变实际结果也不隐藏这一过程。报告中的分段面积和图形只消费已冻结均值与计算输出，不再拟合。</w:t>
      </w:r>
    </w:p>
    <w:p>
      <w:pPr>
        <w:pStyle w:val="Heading2"/>
      </w:pPr>
      <w:r>
        <w:rPr>
          <w:color w:val="000000"/>
        </w:rPr>
        <w:t>主要局限</w:t>
      </w:r>
    </w:p>
    <w:p>
      <w:r>
        <w:rPr>
          <w:b w:val="0"/>
        </w:rPr>
        <w:t>原始逐重复数据、共享时间误差和检测回收信息尚未获得；图示点不等于个体样本。独立均匀读图扰动没有模拟共享轴标定误差。三起点不能保证全局最优，五点平台网格不足以形成正式参数区间。三个模块的测量对象与实验条件不同，不能将其中的经验速率跨模块转用。</w:t>
      </w:r>
    </w:p>
    <w:p>
      <w:pPr>
        <w:pStyle w:val="Heading2"/>
      </w:pPr>
      <w:r>
        <w:rPr>
          <w:color w:val="000000"/>
        </w:rPr>
        <w:t>参考资料</w:t>
      </w:r>
    </w:p>
    <w:p>
      <w:r>
        <w:rPr>
          <w:b w:val="0"/>
          <w:sz w:val="17"/>
        </w:rPr>
        <w:t>[1] Cheng等. Improvement on stability, loading capacity and sustained release of rhamnolipids modified curcumin liposomes. Colloids and Surfaces B: Biointerfaces. 2019;183:110460. DOI 10.1016/j.colsurfb.2019.110460. 方法为PDF第3页，Fig.7及Table 1为第8页。</w:t>
      </w:r>
    </w:p>
    <w:p>
      <w:r>
        <w:rPr>
          <w:b w:val="0"/>
          <w:sz w:val="17"/>
        </w:rPr>
        <w:t>[2] 彭盛峰. pH驱动法制备姜黄素食品运载体及其生物利用率. 博士学位论文, 2019. 释放Fig.4.6为PDF第78页；药代方法第97页，Fig.6.5B及嵌表第105页。</w:t>
      </w:r>
    </w:p>
    <w:p>
      <w:r>
        <w:rPr>
          <w:b w:val="0"/>
          <w:sz w:val="17"/>
        </w:rPr>
        <w:t>[3] Liu H等. Colonic delivery and controlled release of curcumin encapsulated within plant-based extracellular vesicles loaded into hydrogel beads. Food Research International. 2025;202:115540. DOI 10.1016/j.foodres.2024.115540. 方法为PDF第3至4页，Fig.7为第10页。</w:t>
      </w:r>
    </w:p>
    <w:p>
      <w:r>
        <w:rPr>
          <w:b w:val="0"/>
          <w:sz w:val="17"/>
        </w:rPr>
        <w:t>[4] Peng等. Food &amp; Function. 2018;9:1829–1839. DOI 10.1039/C7FO01814B. 作为皂素纳米粒子药代方法与汇总同源核对，不作独立验证。</w:t>
      </w:r>
    </w:p>
    <w:p>
      <w:r>
        <w:rPr>
          <w:b w:val="0"/>
          <w:sz w:val="17"/>
        </w:rPr>
        <w:t>[5] Peng等. Journal of Agricultural and Food Chemistry. 2018;66:1488–1497. DOI 10.1021/acs.jafc.7b05478. 与博士论文第6章相关；本次未完成英文原图独立视觉核验。</w:t>
      </w:r>
    </w:p>
    <w:p>
      <w:r>
        <w:rPr>
          <w:b w:val="0"/>
          <w:sz w:val="17"/>
        </w:rPr>
        <w:t>页码均为本地PDF文件页序，和印刷页码可能不同。原文资料仅用于内部复核，附带计算项目不分发原PDF或文献图。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2026年10月26日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000000"/>
        <w:sz w:val="16"/>
      </w:rPr>
      <w:t>姜黄素递送动力学重建  研究构想与首轮计算分析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exact"/>
    </w:pPr>
    <w:rPr>
      <w:rFonts w:ascii="Noto Sans CJK SC" w:hAnsi="Noto Sans CJK SC" w:eastAsia="Noto Sans CJK SC" w:cs="Noto Sans CJK SC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400" w:lineRule="exact"/>
      <w:outlineLvl w:val="0"/>
    </w:pPr>
    <w:rPr>
      <w:rFonts w:ascii="Noto Sans CJK SC" w:hAnsi="Noto Sans CJK SC" w:eastAsia="Noto Sans CJK SC" w:cs="Noto Sans CJK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00" w:lineRule="exact"/>
      <w:outlineLvl w:val="1"/>
    </w:pPr>
    <w:rPr>
      <w:rFonts w:ascii="Noto Sans CJK SC" w:hAnsi="Noto Sans CJK SC" w:eastAsia="Noto Sans CJK SC" w:cs="Noto Sans CJK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75" w:lineRule="exact"/>
      <w:outlineLvl w:val="2"/>
    </w:pPr>
    <w:rPr>
      <w:rFonts w:ascii="Noto Sans CJK SC" w:hAnsi="Noto Sans CJK SC" w:eastAsia="Noto Sans CJK SC" w:cs="Noto Sans CJK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="Noto Sans CJK SC" w:hAnsi="Noto Sans CJK SC" w:eastAsia="Noto Sans CJK SC" w:cs="Noto Sans CJK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="Noto Sans CJK SC" w:hAnsi="Noto Sans CJK SC" w:eastAsia="Noto Sans CJK SC" w:cs="Noto Sans CJK SC"/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00" w:lineRule="exact"/>
    </w:pPr>
    <w:rPr>
      <w:rFonts w:ascii="Noto Sans CJK SC" w:hAnsi="Noto Sans CJK SC" w:eastAsia="Noto Sans CJK SC" w:cs="Noto Sans CJK SC"/>
      <w:b w:val="0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exact" w:after="140"/>
    </w:pPr>
    <w:rPr>
      <w:rFonts w:ascii="Noto Sans CJK SC" w:hAnsi="Noto Sans CJK SC" w:eastAsia="Noto Sans CJK SC" w:cs="Noto Sans CJK SC"/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姜黄素递送研究的动力学重建与证据稳健性</dc:title>
  <dc:subject>研究构想与首轮计算分析</dc:subject>
  <dc:creator/>
  <cp:keywords>姜黄素 动力学 释放 数字化 稳健性 代谢物 AUC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